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24BA99">
      <w:pPr>
        <w:pBdr>
          <w:top w:val="none" w:color="000000" w:sz="0" w:space="7"/>
          <w:left w:val="none" w:color="000000" w:sz="0" w:space="0"/>
          <w:bottom w:val="none" w:color="000000" w:sz="0" w:space="0"/>
          <w:right w:val="none" w:color="000000" w:sz="0" w:space="0"/>
        </w:pBdr>
        <w:jc w:val="both"/>
        <w:rPr>
          <w:lang w:eastAsia="zh-CN"/>
        </w:rPr>
      </w:pPr>
      <w:bookmarkStart w:id="0" w:name="_GoBack"/>
      <w:r>
        <w:rPr>
          <w:rFonts w:ascii="黑体" w:hAnsi="黑体" w:eastAsia="黑体" w:cs="黑体"/>
          <w:color w:val="000000"/>
          <w:sz w:val="32"/>
          <w:lang w:eastAsia="zh-CN"/>
        </w:rPr>
        <w:t>附件</w:t>
      </w:r>
    </w:p>
    <w:p w14:paraId="7390A63A">
      <w:pPr>
        <w:pBdr>
          <w:top w:val="none" w:color="000000" w:sz="0" w:space="7"/>
          <w:left w:val="none" w:color="000000" w:sz="0" w:space="0"/>
          <w:bottom w:val="none" w:color="000000" w:sz="0" w:space="0"/>
          <w:right w:val="none" w:color="000000" w:sz="0" w:space="0"/>
        </w:pBdr>
        <w:spacing w:line="559" w:lineRule="atLeast"/>
        <w:jc w:val="center"/>
        <w:rPr>
          <w:lang w:eastAsia="zh-CN"/>
        </w:rPr>
      </w:pPr>
      <w:r>
        <w:rPr>
          <w:rFonts w:ascii="方正小标宋简体" w:hAnsi="方正小标宋简体" w:eastAsia="方正小标宋简体" w:cs="方正小标宋简体"/>
          <w:color w:val="000000"/>
          <w:sz w:val="44"/>
          <w:lang w:eastAsia="zh-CN"/>
        </w:rPr>
        <w:t>青岛市企业应急引导基金服务体系</w:t>
      </w:r>
    </w:p>
    <w:p w14:paraId="7B4E31EC">
      <w:pPr>
        <w:pBdr>
          <w:top w:val="none" w:color="000000" w:sz="0" w:space="7"/>
          <w:left w:val="none" w:color="000000" w:sz="0" w:space="0"/>
          <w:bottom w:val="none" w:color="000000" w:sz="0" w:space="0"/>
          <w:right w:val="none" w:color="000000" w:sz="0" w:space="0"/>
        </w:pBdr>
        <w:spacing w:line="559" w:lineRule="atLeast"/>
        <w:jc w:val="center"/>
        <w:rPr>
          <w:lang w:eastAsia="zh-CN"/>
        </w:rPr>
      </w:pPr>
      <w:r>
        <w:rPr>
          <w:rFonts w:ascii="方正小标宋简体" w:hAnsi="方正小标宋简体" w:eastAsia="方正小标宋简体" w:cs="方正小标宋简体"/>
          <w:color w:val="000000"/>
          <w:sz w:val="44"/>
          <w:lang w:eastAsia="zh-CN"/>
        </w:rPr>
        <w:t>2024年第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lang w:val="en-US" w:eastAsia="zh-CN"/>
        </w:rPr>
        <w:t>五</w:t>
      </w:r>
      <w:r>
        <w:rPr>
          <w:rFonts w:ascii="方正小标宋简体" w:hAnsi="方正小标宋简体" w:eastAsia="方正小标宋简体" w:cs="方正小标宋简体"/>
          <w:color w:val="000000"/>
          <w:sz w:val="44"/>
          <w:lang w:eastAsia="zh-CN"/>
        </w:rPr>
        <w:t>批备案机构名单</w:t>
      </w:r>
    </w:p>
    <w:bookmarkEnd w:id="0"/>
    <w:p w14:paraId="5007383F">
      <w:pPr>
        <w:pBdr>
          <w:top w:val="none" w:color="000000" w:sz="0" w:space="7"/>
          <w:left w:val="none" w:color="000000" w:sz="0" w:space="0"/>
          <w:bottom w:val="none" w:color="000000" w:sz="0" w:space="0"/>
          <w:right w:val="none" w:color="000000" w:sz="0" w:space="0"/>
        </w:pBdr>
        <w:spacing w:line="559" w:lineRule="atLeast"/>
        <w:ind w:firstLine="640"/>
        <w:jc w:val="both"/>
        <w:rPr>
          <w:lang w:eastAsia="zh-CN"/>
        </w:rPr>
      </w:pPr>
      <w:r>
        <w:rPr>
          <w:rFonts w:ascii="仿宋_GB2312" w:hAnsi="仿宋_GB2312" w:eastAsia="仿宋_GB2312" w:cs="仿宋_GB2312"/>
          <w:color w:val="000000"/>
          <w:sz w:val="32"/>
          <w:lang w:eastAsia="zh-CN"/>
        </w:rPr>
        <w:t> </w:t>
      </w:r>
    </w:p>
    <w:p w14:paraId="4012E6B5">
      <w:pPr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200" w:line="560" w:lineRule="exact"/>
        <w:ind w:firstLine="641"/>
        <w:jc w:val="left"/>
        <w:rPr>
          <w:rFonts w:hint="eastAsia" w:ascii="仿宋_GB2312" w:hAnsi="仿宋_GB2312" w:eastAsia="仿宋_GB2312" w:cs="仿宋_GB2312"/>
          <w:color w:val="000000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lang w:val="en-US" w:eastAsia="zh-CN"/>
        </w:rPr>
        <w:t>（排名不分先后）</w:t>
      </w:r>
    </w:p>
    <w:p w14:paraId="18163D16">
      <w:pPr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200" w:line="560" w:lineRule="exact"/>
        <w:ind w:firstLine="641"/>
        <w:jc w:val="left"/>
        <w:rPr>
          <w:rFonts w:hint="eastAsia" w:ascii="仿宋_GB2312" w:hAnsi="仿宋_GB2312" w:eastAsia="仿宋_GB2312" w:cs="仿宋_GB2312"/>
          <w:color w:val="000000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lang w:val="en-US" w:eastAsia="zh-CN"/>
        </w:rPr>
        <w:t>青岛荣鑫投资发展有限公司</w:t>
      </w:r>
    </w:p>
    <w:p w14:paraId="7FEEC6B3">
      <w:pPr>
        <w:widowControl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spacing w:after="200" w:line="560" w:lineRule="exact"/>
        <w:ind w:firstLine="641"/>
        <w:jc w:val="left"/>
        <w:rPr>
          <w:rFonts w:hint="default" w:ascii="仿宋_GB2312" w:hAnsi="仿宋_GB2312" w:eastAsia="仿宋_GB2312" w:cs="仿宋_GB2312"/>
          <w:color w:val="000000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lang w:val="en-US" w:eastAsia="zh-CN"/>
        </w:rPr>
        <w:t>青岛捷信汇通投资有限公司</w:t>
      </w:r>
    </w:p>
    <w:p w14:paraId="5642956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2010601030101010101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