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B7828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jc w:val="both"/>
        <w:rPr>
          <w:rFonts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ascii="黑体" w:hAnsi="黑体" w:eastAsia="黑体" w:cs="黑体"/>
          <w:color w:val="000000"/>
          <w:sz w:val="32"/>
          <w:lang w:eastAsia="zh-CN"/>
        </w:rPr>
        <w:t>附件</w:t>
      </w:r>
    </w:p>
    <w:p w14:paraId="55BFE94A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bookmarkStart w:id="0" w:name="_GoBack"/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青岛市企业应急引导基金服务体系</w:t>
      </w:r>
    </w:p>
    <w:p w14:paraId="35E9CC7C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2024年第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lang w:val="en-US" w:eastAsia="zh-CN"/>
        </w:rPr>
        <w:t>二</w:t>
      </w: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批备案机构名单</w:t>
      </w:r>
    </w:p>
    <w:bookmarkEnd w:id="0"/>
    <w:p w14:paraId="73662E2E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firstLine="640"/>
        <w:jc w:val="both"/>
        <w:rPr>
          <w:lang w:eastAsia="zh-CN"/>
        </w:rPr>
      </w:pPr>
      <w:r>
        <w:rPr>
          <w:rFonts w:ascii="仿宋_GB2312" w:hAnsi="仿宋_GB2312" w:eastAsia="仿宋_GB2312" w:cs="仿宋_GB2312"/>
          <w:color w:val="000000"/>
          <w:sz w:val="32"/>
          <w:lang w:eastAsia="zh-CN"/>
        </w:rPr>
        <w:t> </w:t>
      </w:r>
    </w:p>
    <w:p w14:paraId="784AF72F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 w:cs="仿宋_GB2312"/>
          <w:color w:val="000000"/>
          <w:sz w:val="32"/>
          <w:lang w:eastAsia="zh-CN"/>
        </w:rPr>
        <w:t>（排名不分先后）</w:t>
      </w:r>
    </w:p>
    <w:p w14:paraId="5F091628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青岛黄发小额贷款有限公司</w:t>
      </w:r>
    </w:p>
    <w:p w14:paraId="781E674B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青岛经联惠融企业服务有限公司</w:t>
      </w:r>
    </w:p>
    <w:p w14:paraId="4127AA3D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青岛财通普惠企业服务合伙企业（有限合伙）</w:t>
      </w:r>
    </w:p>
    <w:p w14:paraId="1459AFE5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青岛动车小镇锐安投资有限公司</w:t>
      </w:r>
    </w:p>
    <w:p w14:paraId="2A3DEABF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青岛诚开投资控股有限公司</w:t>
      </w:r>
    </w:p>
    <w:p w14:paraId="7F923A00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山东海容应急转贷产业投资有限公司</w:t>
      </w:r>
    </w:p>
    <w:p w14:paraId="10C6FBE9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山东甘雨林投资有限公司</w:t>
      </w:r>
    </w:p>
    <w:p w14:paraId="54B01485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60" w:lineRule="exact"/>
        <w:ind w:firstLine="641"/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eastAsia="zh-CN"/>
        </w:rPr>
        <w:t>长烽数智科技（山东）有限公司</w:t>
      </w:r>
    </w:p>
    <w:p w14:paraId="6F1FA20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